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E9" w:rsidRDefault="00004EE9" w:rsidP="00004EE9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04EE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 1 января в Налоговом кодексе Российской Федерации вводят понятие счета цифрового рубля</w:t>
      </w:r>
    </w:p>
    <w:p w:rsidR="00004EE9" w:rsidRPr="00004EE9" w:rsidRDefault="00004EE9" w:rsidP="00004EE9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proofErr w:type="gramStart"/>
      <w:r w:rsidRPr="00004EE9">
        <w:rPr>
          <w:color w:val="333333"/>
          <w:sz w:val="28"/>
          <w:szCs w:val="28"/>
        </w:rPr>
        <w:t>С 1 января в Налоговом кодексе Российской Федерации вводят понятие счета цифрового рубля (Федеральный закон Российской Федерации от 19.12.2023 № 610-ФЗ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сборах».</w:t>
      </w:r>
      <w:proofErr w:type="gramEnd"/>
      <w:r w:rsidRPr="00004EE9">
        <w:rPr>
          <w:color w:val="333333"/>
          <w:sz w:val="28"/>
          <w:szCs w:val="28"/>
        </w:rPr>
        <w:t>  Это счет, открытый оператором платформы цифрового рубля по договору счета такого рубля.</w:t>
      </w:r>
    </w:p>
    <w:p w:rsidR="00004EE9" w:rsidRPr="00004EE9" w:rsidRDefault="00004EE9" w:rsidP="00004EE9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004EE9">
        <w:rPr>
          <w:color w:val="333333"/>
          <w:sz w:val="28"/>
          <w:szCs w:val="28"/>
        </w:rPr>
        <w:t>Предусмотрели возможность взыскания недоимок за счет цифровых рублей в ситуации, когда нет или недостаточно денег (драгметаллов) на счетах налогоплательщика либо его электронных денег.</w:t>
      </w:r>
    </w:p>
    <w:p w:rsidR="00004EE9" w:rsidRPr="00004EE9" w:rsidRDefault="00004EE9" w:rsidP="00004EE9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004EE9">
        <w:rPr>
          <w:color w:val="333333"/>
          <w:sz w:val="28"/>
          <w:szCs w:val="28"/>
        </w:rPr>
        <w:t>С 1 января 2025 года налоговики могут приостанавливать операции по счетам цифрового рубля, а также истребовать у операторов платформы справки о таких счетах, об остатках денег на них и др.</w:t>
      </w:r>
    </w:p>
    <w:p w:rsidR="00004EE9" w:rsidRPr="00004EE9" w:rsidRDefault="00004EE9" w:rsidP="00004EE9">
      <w:pPr>
        <w:pStyle w:val="a3"/>
        <w:shd w:val="clear" w:color="auto" w:fill="FFFFFF"/>
        <w:spacing w:before="0" w:beforeAutospacing="0" w:after="173" w:afterAutospacing="0"/>
        <w:rPr>
          <w:color w:val="333333"/>
          <w:sz w:val="28"/>
          <w:szCs w:val="28"/>
        </w:rPr>
      </w:pPr>
      <w:r w:rsidRPr="00004EE9">
        <w:rPr>
          <w:color w:val="333333"/>
          <w:sz w:val="28"/>
          <w:szCs w:val="28"/>
        </w:rPr>
        <w:t>Предусмотрели освобождение от НДС операций с цифровым рублем и правила признания доходов и расходов по операциям с ним при налогообложении прибыли. Для НДФЛ установили, что датой получения дохода считается день его перечисления на счет цифрового рубля.</w:t>
      </w:r>
    </w:p>
    <w:p w:rsidR="00004EE9" w:rsidRPr="00004EE9" w:rsidRDefault="00004EE9" w:rsidP="00004EE9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B6B15" w:rsidRDefault="004B6B15"/>
    <w:sectPr w:rsidR="004B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04EE9"/>
    <w:rsid w:val="00004EE9"/>
    <w:rsid w:val="004B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0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2024-12-11T16:35:00Z</dcterms:created>
  <dcterms:modified xsi:type="dcterms:W3CDTF">2024-12-11T16:36:00Z</dcterms:modified>
</cp:coreProperties>
</file>